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Policy Changelog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Organization: Acme Inc</w:t>
      </w:r>
    </w:p>
    <w:p>
      <w:r>
        <w:t xml:space="preserve">Website: https://acme-saas.com</w:t>
      </w:r>
    </w:p>
    <w:p>
      <w:r>
        <w:t xml:space="preserve">Last updated: 2026-03-19</w:t>
      </w:r>
    </w:p>
    <w:p>
      <w:r>
        <w:t xml:space="preserve">Maintained by: Jane Mueller (dpo@acme-saas.com)</w:t>
      </w:r>
    </w:p>
    <w:p>
      <w:pPr>
        <w:pBdr>
          <w:bottom w:val="single" w:sz="6" w:space="1" w:color="999999"/>
        </w:pBdr>
      </w:pPr>
    </w:p>
    <w:p>
      <w:r>
        <w:t xml:space="preserve">This document tracks all changes to our Privacy Policy. We maintain this changelog to comply with GDPR transparency obligations (Art. 12-14) and CCPA/CPRA requirements. Users are notified of material changes as described in Section 3.</w:t>
      </w:r>
    </w:p>
    <w:p>
      <w:pPr>
        <w:ind w:left="720"/>
      </w:pPr>
      <w:r>
        <w:rPr>
          <w:i/>
          <w:color w:val="666666"/>
        </w:rPr>
        <w:t xml:space="preserve">**GDPR Requirement:** Data subjects must be informed of any changes to how their personal data is processed. Material changes require active notification.</w:t>
      </w:r>
    </w:p>
    <w:p>
      <w:pPr>
        <w:pStyle w:val="Heading2"/>
      </w:pPr>
      <w:r>
        <w:t>1. Version History</w:t>
      </w:r>
    </w:p>
    <w:p>
      <w:r>
        <w:rPr>
          <w:sz w:val="20"/>
        </w:rPr>
        <w:t xml:space="preserve">Version  |  Date  |  Change Type  |  Summary  |  Material?  |  Notification Sent</w:t>
      </w:r>
    </w:p>
    <w:p>
      <w:r>
        <w:rPr>
          <w:sz w:val="20"/>
        </w:rPr>
        <w:t xml:space="preserve">1.0  |  2026-03-19  |  Initial release  |  Initial privacy policy generated from code scan  |  Yes  |  N/A (initial publication)</w:t>
      </w:r>
    </w:p>
    <w:p>
      <w:r>
        <w:rPr>
          <w:sz w:val="20"/>
        </w:rPr>
        <w:t xml:space="preserve">[1.1]  |  [DATE]  |  [TYPE]  |  [SUMMARY]  |  [YES/NO]  |  [YES/NO — DATE]</w:t>
      </w:r>
    </w:p>
    <w:p>
      <w:r>
        <w:rPr>
          <w:sz w:val="20"/>
        </w:rPr>
        <w:t xml:space="preserve">[1.2]  |  [DATE]  |  [TYPE]  |  [SUMMARY]  |  [YES/NO]  |  [YES/NO — DATE]</w:t>
      </w:r>
    </w:p>
    <w:p>
      <w:pPr>
        <w:pStyle w:val="Heading2"/>
      </w:pPr>
      <w:r>
        <w:t>2. Change Type Definitions</w:t>
      </w:r>
    </w:p>
    <w:p>
      <w:r>
        <w:rPr>
          <w:sz w:val="20"/>
        </w:rPr>
        <w:t xml:space="preserve">Change Type  |  Description  |  Material?  |  Notification Required?</w:t>
      </w:r>
    </w:p>
    <w:p>
      <w:r>
        <w:rPr>
          <w:sz w:val="20"/>
        </w:rPr>
        <w:t xml:space="preserve">**New data collection**  |  Adding new categories of personal data  |  Yes  |  Yes — email + banner</w:t>
      </w:r>
    </w:p>
    <w:p>
      <w:r>
        <w:rPr>
          <w:sz w:val="20"/>
        </w:rPr>
        <w:t xml:space="preserve">**New third-party service**  |  Adding a new data processor/sub-processor  |  Yes  |  Yes — email + banner</w:t>
      </w:r>
    </w:p>
    <w:p>
      <w:r>
        <w:rPr>
          <w:sz w:val="20"/>
        </w:rPr>
        <w:t xml:space="preserve">**New purpose**  |  Processing data for a new purpose  |  Yes  |  Yes — email + banner</w:t>
      </w:r>
    </w:p>
    <w:p>
      <w:r>
        <w:rPr>
          <w:sz w:val="20"/>
        </w:rPr>
        <w:t xml:space="preserve">**Jurisdiction change**  |  Expanding to new geographic regions  |  Yes  |  Yes — email + banner</w:t>
      </w:r>
    </w:p>
    <w:p>
      <w:r>
        <w:rPr>
          <w:sz w:val="20"/>
        </w:rPr>
        <w:t xml:space="preserve">**Retention change**  |  Modifying data retention periods  |  Yes  |  Yes — email + banner</w:t>
      </w:r>
    </w:p>
    <w:p>
      <w:r>
        <w:rPr>
          <w:sz w:val="20"/>
        </w:rPr>
        <w:t xml:space="preserve">**Rights change**  |  Modifying data subject rights processes  |  Yes  |  Yes — email + banner</w:t>
      </w:r>
    </w:p>
    <w:p>
      <w:r>
        <w:rPr>
          <w:sz w:val="20"/>
        </w:rPr>
        <w:t xml:space="preserve">**Legal basis change**  |  Changing lawful basis for processing  |  Yes  |  Yes — email + consent re-collection</w:t>
      </w:r>
    </w:p>
    <w:p>
      <w:r>
        <w:rPr>
          <w:sz w:val="20"/>
        </w:rPr>
        <w:t xml:space="preserve">**Service removal**  |  Removing a third-party service  |  No  |  No (may notify for transparency)</w:t>
      </w:r>
    </w:p>
    <w:p>
      <w:r>
        <w:rPr>
          <w:sz w:val="20"/>
        </w:rPr>
        <w:t xml:space="preserve">**Clarification**  |  Rewording for clarity, no substantive change  |  No  |  No</w:t>
      </w:r>
    </w:p>
    <w:p>
      <w:r>
        <w:rPr>
          <w:sz w:val="20"/>
        </w:rPr>
        <w:t xml:space="preserve">**Formatting**  |  Layout, typo fixes, link updates  |  No  |  No</w:t>
      </w:r>
    </w:p>
    <w:p>
      <w:r>
        <w:rPr>
          <w:sz w:val="20"/>
        </w:rPr>
        <w:t xml:space="preserve">**Contact update**  |  Updated DPO/contact information  |  No  |  No (update in policy)</w:t>
      </w:r>
    </w:p>
    <w:p>
      <w:pPr>
        <w:pStyle w:val="Heading2"/>
      </w:pPr>
      <w:r>
        <w:t>3. Notification Procedures</w:t>
      </w:r>
    </w:p>
    <w:p>
      <w:pPr>
        <w:pStyle w:val="Heading3"/>
      </w:pPr>
      <w:r>
        <w:t>3.1 Material Changes</w:t>
      </w:r>
    </w:p>
    <w:p>
      <w:r>
        <w:t xml:space="preserve">When a material change is made to the Privacy Policy:</w:t>
      </w:r>
    </w:p>
    <w:p>
      <w:pPr>
        <w:pStyle w:val="ListParagraph"/>
        <w:numPr>
          <w:ilvl w:val="0"/>
          <w:numId w:val="2"/>
        </w:numPr>
      </w:pPr>
      <w:r>
        <w:t xml:space="preserve">**Pre-publication review:** Legal Counsel and DPO review the changes</w:t>
      </w:r>
    </w:p>
    <w:p>
      <w:pPr>
        <w:pStyle w:val="ListParagraph"/>
        <w:numPr>
          <w:ilvl w:val="0"/>
          <w:numId w:val="2"/>
        </w:numPr>
      </w:pPr>
      <w:r>
        <w:t xml:space="preserve">**Effective date:** Set the effective date at least 30 days in the future</w:t>
      </w:r>
    </w:p>
    <w:p>
      <w:pPr>
        <w:pStyle w:val="ListParagraph"/>
        <w:numPr>
          <w:ilvl w:val="0"/>
          <w:numId w:val="2"/>
        </w:numPr>
      </w:pPr>
      <w:r>
        <w:t xml:space="preserve">**Email notification:** Send notification email to all registered users</w:t>
      </w:r>
    </w:p>
    <w:p>
      <w:pPr>
        <w:pStyle w:val="ListParagraph"/>
        <w:numPr>
          <w:ilvl w:val="0"/>
          <w:numId w:val="2"/>
        </w:numPr>
      </w:pPr>
      <w:r>
        <w:t xml:space="preserve">**In-app banner:** Display a prominent banner linking to the updated policy</w:t>
      </w:r>
    </w:p>
    <w:p>
      <w:pPr>
        <w:pStyle w:val="ListParagraph"/>
        <w:numPr>
          <w:ilvl w:val="0"/>
          <w:numId w:val="2"/>
        </w:numPr>
      </w:pPr>
      <w:r>
        <w:t xml:space="preserve">**Changelog update:** Add entry to Section 1 of this document</w:t>
      </w:r>
    </w:p>
    <w:p>
      <w:pPr>
        <w:pStyle w:val="ListParagraph"/>
        <w:numPr>
          <w:ilvl w:val="0"/>
          <w:numId w:val="2"/>
        </w:numPr>
      </w:pPr>
      <w:r>
        <w:t xml:space="preserve">**Consent re-collection:** If legal basis changed, collect fresh consent before the effective date</w:t>
      </w:r>
    </w:p>
    <w:p>
      <w:pPr>
        <w:pStyle w:val="ListParagraph"/>
        <w:numPr>
          <w:ilvl w:val="0"/>
          <w:numId w:val="2"/>
        </w:numPr>
      </w:pPr>
      <w:r>
        <w:t xml:space="preserve">**Archive:** Store the previous version in the policy archive (Section 5)</w:t>
      </w:r>
    </w:p>
    <w:p>
      <w:pPr>
        <w:pStyle w:val="Heading3"/>
      </w:pPr>
      <w:r>
        <w:t>3.2 Non-Material Changes</w:t>
      </w:r>
    </w:p>
    <w:p>
      <w:pPr>
        <w:pStyle w:val="ListParagraph"/>
        <w:numPr>
          <w:ilvl w:val="0"/>
          <w:numId w:val="2"/>
        </w:numPr>
      </w:pPr>
      <w:r>
        <w:t xml:space="preserve">Update the Privacy Policy with the new effective date</w:t>
      </w:r>
    </w:p>
    <w:p>
      <w:pPr>
        <w:pStyle w:val="ListParagraph"/>
        <w:numPr>
          <w:ilvl w:val="0"/>
          <w:numId w:val="2"/>
        </w:numPr>
      </w:pPr>
      <w:r>
        <w:t xml:space="preserve">Add entry to Section 1 of this document</w:t>
      </w:r>
    </w:p>
    <w:p>
      <w:pPr>
        <w:pStyle w:val="ListParagraph"/>
        <w:numPr>
          <w:ilvl w:val="0"/>
          <w:numId w:val="2"/>
        </w:numPr>
      </w:pPr>
      <w:r>
        <w:t xml:space="preserve">No user notification required</w:t>
      </w:r>
    </w:p>
    <w:p>
      <w:pPr>
        <w:pStyle w:val="Heading2"/>
      </w:pPr>
      <w:r>
        <w:t>4. Current Privacy Policy Baseline</w:t>
      </w:r>
    </w:p>
    <w:p>
      <w:r>
        <w:t xml:space="preserve">As of 2026-03-19, the privacy policy covers the following (auto-detected from codebase scan):</w:t>
      </w:r>
    </w:p>
    <w:p>
      <w:pPr>
        <w:pStyle w:val="Heading3"/>
      </w:pPr>
      <w:r>
        <w:t>4.1 Third-Party Services</w:t>
      </w:r>
    </w:p>
    <w:p>
      <w:pPr>
        <w:pStyle w:val="ListParagraph"/>
        <w:numPr>
          <w:ilvl w:val="0"/>
          <w:numId w:val="1"/>
        </w:numPr>
      </w:pPr>
      <w:r>
        <w:t xml:space="preserve">@sentry/node</w:t>
      </w:r>
    </w:p>
    <w:p>
      <w:pPr>
        <w:pStyle w:val="ListParagraph"/>
        <w:numPr>
          <w:ilvl w:val="0"/>
          <w:numId w:val="1"/>
        </w:numPr>
      </w:pPr>
      <w:r>
        <w:t xml:space="preserve">@supabase/supabase-js</w:t>
      </w:r>
    </w:p>
    <w:p>
      <w:pPr>
        <w:pStyle w:val="ListParagraph"/>
        <w:numPr>
          <w:ilvl w:val="0"/>
          <w:numId w:val="1"/>
        </w:numPr>
      </w:pPr>
      <w:r>
        <w:t xml:space="preserve">openai</w:t>
      </w:r>
    </w:p>
    <w:p>
      <w:pPr>
        <w:pStyle w:val="ListParagraph"/>
        <w:numPr>
          <w:ilvl w:val="0"/>
          <w:numId w:val="1"/>
        </w:numPr>
      </w:pPr>
      <w:r>
        <w:t xml:space="preserve">posthog</w:t>
      </w:r>
    </w:p>
    <w:p>
      <w:pPr>
        <w:pStyle w:val="ListParagraph"/>
        <w:numPr>
          <w:ilvl w:val="0"/>
          <w:numId w:val="1"/>
        </w:numPr>
      </w:pPr>
      <w:r>
        <w:t xml:space="preserve">prisma</w:t>
      </w:r>
    </w:p>
    <w:p>
      <w:pPr>
        <w:pStyle w:val="ListParagraph"/>
        <w:numPr>
          <w:ilvl w:val="0"/>
          <w:numId w:val="1"/>
        </w:numPr>
      </w:pPr>
      <w:r>
        <w:t xml:space="preserve">resend</w:t>
      </w:r>
    </w:p>
    <w:p>
      <w:pPr>
        <w:pStyle w:val="ListParagraph"/>
        <w:numPr>
          <w:ilvl w:val="0"/>
          <w:numId w:val="1"/>
        </w:numPr>
      </w:pPr>
      <w:r>
        <w:t xml:space="preserve">stripe</w:t>
      </w:r>
    </w:p>
    <w:p>
      <w:pPr>
        <w:pStyle w:val="ListParagraph"/>
        <w:numPr>
          <w:ilvl w:val="0"/>
          <w:numId w:val="1"/>
        </w:numPr>
      </w:pPr>
      <w:r>
        <w:t xml:space="preserve">stripe-ios</w:t>
      </w:r>
    </w:p>
    <w:p>
      <w:pPr>
        <w:pStyle w:val="Heading3"/>
      </w:pPr>
      <w:r>
        <w:t>4.2 Data Categories Collected</w:t>
      </w:r>
    </w:p>
    <w:p>
      <w:pPr>
        <w:pStyle w:val="ListParagraph"/>
        <w:numPr>
          <w:ilvl w:val="0"/>
          <w:numId w:val="1"/>
        </w:numPr>
      </w:pPr>
      <w:r>
        <w:t xml:space="preserve">IP address</w:t>
      </w:r>
    </w:p>
    <w:p>
      <w:pPr>
        <w:pStyle w:val="ListParagraph"/>
        <w:numPr>
          <w:ilvl w:val="0"/>
          <w:numId w:val="1"/>
        </w:numPr>
      </w:pPr>
      <w:r>
        <w:t xml:space="preserve">billing address</w:t>
      </w:r>
    </w:p>
    <w:p>
      <w:pPr>
        <w:pStyle w:val="ListParagraph"/>
        <w:numPr>
          <w:ilvl w:val="0"/>
          <w:numId w:val="1"/>
        </w:numPr>
      </w:pPr>
      <w:r>
        <w:t xml:space="preserve">conversation history</w:t>
      </w:r>
    </w:p>
    <w:p>
      <w:pPr>
        <w:pStyle w:val="ListParagraph"/>
        <w:numPr>
          <w:ilvl w:val="0"/>
          <w:numId w:val="1"/>
        </w:numPr>
      </w:pPr>
      <w:r>
        <w:t xml:space="preserve">device information</w:t>
      </w:r>
    </w:p>
    <w:p>
      <w:pPr>
        <w:pStyle w:val="ListParagraph"/>
        <w:numPr>
          <w:ilvl w:val="0"/>
          <w:numId w:val="1"/>
        </w:numPr>
      </w:pPr>
      <w:r>
        <w:t xml:space="preserve">email</w:t>
      </w:r>
    </w:p>
    <w:p>
      <w:pPr>
        <w:pStyle w:val="ListParagraph"/>
        <w:numPr>
          <w:ilvl w:val="0"/>
          <w:numId w:val="1"/>
        </w:numPr>
      </w:pPr>
      <w:r>
        <w:t xml:space="preserve">email addresses</w:t>
      </w:r>
    </w:p>
    <w:p>
      <w:pPr>
        <w:pStyle w:val="ListParagraph"/>
        <w:numPr>
          <w:ilvl w:val="0"/>
          <w:numId w:val="1"/>
        </w:numPr>
      </w:pPr>
      <w:r>
        <w:t xml:space="preserve">email content</w:t>
      </w:r>
    </w:p>
    <w:p>
      <w:pPr>
        <w:pStyle w:val="ListParagraph"/>
        <w:numPr>
          <w:ilvl w:val="0"/>
          <w:numId w:val="1"/>
        </w:numPr>
      </w:pPr>
      <w:r>
        <w:t xml:space="preserve">error data</w:t>
      </w:r>
    </w:p>
    <w:p>
      <w:pPr>
        <w:pStyle w:val="ListParagraph"/>
        <w:numPr>
          <w:ilvl w:val="0"/>
          <w:numId w:val="1"/>
        </w:numPr>
      </w:pPr>
      <w:r>
        <w:t xml:space="preserve">feature flag usage</w:t>
      </w:r>
    </w:p>
    <w:p>
      <w:pPr>
        <w:pStyle w:val="ListParagraph"/>
        <w:numPr>
          <w:ilvl w:val="0"/>
          <w:numId w:val="1"/>
        </w:numPr>
      </w:pPr>
      <w:r>
        <w:t xml:space="preserve">generated content</w:t>
      </w:r>
    </w:p>
    <w:p>
      <w:pPr>
        <w:pStyle w:val="ListParagraph"/>
        <w:numPr>
          <w:ilvl w:val="0"/>
          <w:numId w:val="1"/>
        </w:numPr>
      </w:pPr>
      <w:r>
        <w:t xml:space="preserve">password hash</w:t>
      </w:r>
    </w:p>
    <w:p>
      <w:pPr>
        <w:pStyle w:val="ListParagraph"/>
        <w:numPr>
          <w:ilvl w:val="0"/>
          <w:numId w:val="1"/>
        </w:numPr>
      </w:pPr>
      <w:r>
        <w:t xml:space="preserve">payment information</w:t>
      </w:r>
    </w:p>
    <w:p>
      <w:pPr>
        <w:pStyle w:val="ListParagraph"/>
        <w:numPr>
          <w:ilvl w:val="0"/>
          <w:numId w:val="1"/>
        </w:numPr>
      </w:pPr>
      <w:r>
        <w:t xml:space="preserve">session data</w:t>
      </w:r>
    </w:p>
    <w:p>
      <w:pPr>
        <w:pStyle w:val="ListParagraph"/>
        <w:numPr>
          <w:ilvl w:val="0"/>
          <w:numId w:val="1"/>
        </w:numPr>
      </w:pPr>
      <w:r>
        <w:t xml:space="preserve">session recordings</w:t>
      </w:r>
    </w:p>
    <w:p>
      <w:pPr>
        <w:pStyle w:val="ListParagraph"/>
        <w:numPr>
          <w:ilvl w:val="0"/>
          <w:numId w:val="1"/>
        </w:numPr>
      </w:pPr>
      <w:r>
        <w:t xml:space="preserve">stack traces</w:t>
      </w:r>
    </w:p>
    <w:p>
      <w:pPr>
        <w:pStyle w:val="ListParagraph"/>
        <w:numPr>
          <w:ilvl w:val="0"/>
          <w:numId w:val="1"/>
        </w:numPr>
      </w:pPr>
      <w:r>
        <w:t xml:space="preserve">transaction history</w:t>
      </w:r>
    </w:p>
    <w:p>
      <w:pPr>
        <w:pStyle w:val="ListParagraph"/>
        <w:numPr>
          <w:ilvl w:val="0"/>
          <w:numId w:val="1"/>
        </w:numPr>
      </w:pPr>
      <w:r>
        <w:t xml:space="preserve">user behavior</w:t>
      </w:r>
    </w:p>
    <w:p>
      <w:pPr>
        <w:pStyle w:val="ListParagraph"/>
        <w:numPr>
          <w:ilvl w:val="0"/>
          <w:numId w:val="1"/>
        </w:numPr>
      </w:pPr>
      <w:r>
        <w:t xml:space="preserve">user context</w:t>
      </w:r>
    </w:p>
    <w:p>
      <w:pPr>
        <w:pStyle w:val="ListParagraph"/>
        <w:numPr>
          <w:ilvl w:val="0"/>
          <w:numId w:val="1"/>
        </w:numPr>
      </w:pPr>
      <w:r>
        <w:t xml:space="preserve">user data as defined in schema</w:t>
      </w:r>
    </w:p>
    <w:p>
      <w:pPr>
        <w:pStyle w:val="ListParagraph"/>
        <w:numPr>
          <w:ilvl w:val="0"/>
          <w:numId w:val="1"/>
        </w:numPr>
      </w:pPr>
      <w:r>
        <w:t xml:space="preserve">user metadata</w:t>
      </w:r>
    </w:p>
    <w:p>
      <w:pPr>
        <w:pStyle w:val="ListParagraph"/>
        <w:numPr>
          <w:ilvl w:val="0"/>
          <w:numId w:val="1"/>
        </w:numPr>
      </w:pPr>
      <w:r>
        <w:t xml:space="preserve">user prompts</w:t>
      </w:r>
    </w:p>
    <w:p>
      <w:pPr>
        <w:pStyle w:val="Heading3"/>
      </w:pPr>
      <w:r>
        <w:t>4.3 Processing Features</w:t>
      </w:r>
    </w:p>
    <w:p>
      <w:pPr>
        <w:pStyle w:val="ListParagraph"/>
        <w:numPr>
          <w:ilvl w:val="0"/>
          <w:numId w:val="1"/>
        </w:numPr>
      </w:pPr>
      <w:r>
        <w:t xml:space="preserve">AI/ML processing</w:t>
      </w:r>
    </w:p>
    <w:p>
      <w:pPr>
        <w:pStyle w:val="ListParagraph"/>
        <w:numPr>
          <w:ilvl w:val="0"/>
          <w:numId w:val="1"/>
        </w:numPr>
      </w:pPr>
      <w:r>
        <w:t xml:space="preserve">Payment processing</w:t>
      </w:r>
    </w:p>
    <w:p>
      <w:pPr>
        <w:pStyle w:val="ListParagraph"/>
        <w:numPr>
          <w:ilvl w:val="0"/>
          <w:numId w:val="1"/>
        </w:numPr>
      </w:pPr>
      <w:r>
        <w:t xml:space="preserve">Analytics and tracking</w:t>
      </w:r>
    </w:p>
    <w:p>
      <w:pPr>
        <w:pStyle w:val="ListParagraph"/>
        <w:numPr>
          <w:ilvl w:val="0"/>
          <w:numId w:val="1"/>
        </w:numPr>
      </w:pPr>
      <w:r>
        <w:t xml:space="preserve">Authentication and user accounts</w:t>
      </w:r>
    </w:p>
    <w:p>
      <w:pPr>
        <w:pStyle w:val="ListParagraph"/>
        <w:numPr>
          <w:ilvl w:val="0"/>
          <w:numId w:val="1"/>
        </w:numPr>
      </w:pPr>
      <w:r>
        <w:t xml:space="preserve">Email communications</w:t>
      </w:r>
    </w:p>
    <w:p>
      <w:pPr>
        <w:pStyle w:val="ListParagraph"/>
        <w:numPr>
          <w:ilvl w:val="0"/>
          <w:numId w:val="1"/>
        </w:numPr>
      </w:pPr>
      <w:r>
        <w:t xml:space="preserve">Error monitoring and logging</w:t>
      </w:r>
    </w:p>
    <w:p>
      <w:pPr>
        <w:pStyle w:val="Heading2"/>
      </w:pPr>
      <w:r>
        <w:t>5. Policy Version Archive</w:t>
      </w:r>
    </w:p>
    <w:p>
      <w:r>
        <w:t xml:space="preserve">Maintain a copy of each version of the Privacy Policy for audit purposes.</w:t>
      </w:r>
    </w:p>
    <w:p>
      <w:r>
        <w:rPr>
          <w:sz w:val="20"/>
        </w:rPr>
        <w:t xml:space="preserve">Version  |  Effective Date  |  Superseded Date  |  Archive Location</w:t>
      </w:r>
    </w:p>
    <w:p>
      <w:r>
        <w:rPr>
          <w:sz w:val="20"/>
        </w:rPr>
        <w:t xml:space="preserve">1.0  |  2026-03-19  |  Current  |  PRIVACY_POLICY.md</w:t>
      </w:r>
    </w:p>
    <w:p>
      <w:r>
        <w:rPr>
          <w:sz w:val="20"/>
        </w:rPr>
        <w:t xml:space="preserve">[0.x]  |  [DATE]  |  [DATE]  |  [ARCHIVE PATH OR URL]</w:t>
      </w:r>
    </w:p>
    <w:p>
      <w:pPr>
        <w:ind w:left="720"/>
      </w:pPr>
      <w:r>
        <w:rPr>
          <w:i/>
          <w:color w:val="666666"/>
        </w:rPr>
        <w:t xml:space="preserve">**Best practice:** Store archived versions in version control (git) or a dedicated compliance document management system. Each version should be immutable once superseded.</w:t>
      </w:r>
    </w:p>
    <w:p>
      <w:pPr>
        <w:pStyle w:val="Heading2"/>
      </w:pPr>
      <w:r>
        <w:t>6. Review Schedule</w:t>
      </w:r>
    </w:p>
    <w:p>
      <w:r>
        <w:rPr>
          <w:sz w:val="20"/>
        </w:rPr>
        <w:t xml:space="preserve">Review Type  |  Frequency  |  Next Review  |  Owner</w:t>
      </w:r>
    </w:p>
    <w:p>
      <w:r>
        <w:rPr>
          <w:sz w:val="20"/>
        </w:rPr>
        <w:t xml:space="preserve">Scheduled review  |  Quarterly  |  [DATE]  |  DPO</w:t>
      </w:r>
    </w:p>
    <w:p>
      <w:r>
        <w:rPr>
          <w:sz w:val="20"/>
        </w:rPr>
        <w:t xml:space="preserve">Post-deployment review  |  After each release with data changes  |  Ongoing  |  Engineering + DPO</w:t>
      </w:r>
    </w:p>
    <w:p>
      <w:r>
        <w:rPr>
          <w:sz w:val="20"/>
        </w:rPr>
        <w:t xml:space="preserve">Annual comprehensive review  |  Annually  |  [DATE]  |  Legal + DPO</w:t>
      </w:r>
    </w:p>
    <w:p>
      <w:r>
        <w:rPr>
          <w:sz w:val="20"/>
        </w:rPr>
        <w:t xml:space="preserve">Regulatory trigger review  |  When regulations change  |  As needed  |  Legal</w:t>
      </w:r>
    </w:p>
    <w:p>
      <w:pPr>
        <w:ind w:left="720"/>
      </w:pPr>
      <w:r>
        <w:rPr>
          <w:i/>
          <w:color w:val="666666"/>
        </w:rPr>
        <w:t xml:space="preserve">**Tip:** Run `codepliant diff` after each deployment to detect changes that may require a privacy policy update. Integrate into CI/CD for automated detection.</w:t>
      </w:r>
    </w:p>
    <w:p>
      <w:pPr>
        <w:pStyle w:val="Heading2"/>
      </w:pPr>
      <w:r>
        <w:t>7. Contact</w:t>
      </w:r>
    </w:p>
    <w:p>
      <w:r>
        <w:t xml:space="preserve">For questions about privacy policy changes:</w:t>
      </w:r>
    </w:p>
    <w:p>
      <w:pPr>
        <w:pStyle w:val="ListParagraph"/>
        <w:numPr>
          <w:ilvl w:val="0"/>
          <w:numId w:val="1"/>
        </w:numPr>
      </w:pPr>
      <w:r>
        <w:t xml:space="preserve">**Data Protection Officer:** Jane Mueller (dpo@acme-saas.com)</w:t>
      </w:r>
    </w:p>
    <w:p>
      <w:pPr>
        <w:pStyle w:val="ListParagraph"/>
        <w:numPr>
          <w:ilvl w:val="0"/>
          <w:numId w:val="1"/>
        </w:numPr>
      </w:pPr>
      <w:r>
        <w:t xml:space="preserve">**General inquiries:** legal@acme.com</w:t>
      </w:r>
    </w:p>
    <w:p>
      <w:pPr>
        <w:pBdr>
          <w:bottom w:val="single" w:sz="6" w:space="1" w:color="999999"/>
        </w:pBdr>
      </w:pPr>
    </w:p>
    <w:p>
      <w:r>
        <w:t xml:space="preserve">This Privacy Policy Changelog was generated by [Codepliant](https://github.com/joechensmartz/codepliant) based on an automated scan of the nextjs-saas-example codebase. The baseline in Section 4 is auto-populated from detected services and data types. This template should be maintained by your DPO and reviewed by legal counsel.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